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Lines="100"/>
      </w:pPr>
      <w:r>
        <w:t>Annex 3</w:t>
      </w:r>
    </w:p>
    <w:p>
      <w:pPr>
        <w:snapToGrid w:val="0"/>
        <w:spacing w:afterLines="100"/>
        <w:jc w:val="center"/>
        <w:rPr>
          <w:b/>
          <w:bCs/>
          <w:sz w:val="28"/>
          <w:szCs w:val="24"/>
        </w:rPr>
      </w:pPr>
      <w:r>
        <w:rPr>
          <w:b/>
          <w:bCs/>
          <w:sz w:val="28"/>
          <w:szCs w:val="24"/>
        </w:rPr>
        <w:t xml:space="preserve">Interim Arrangements for the </w:t>
      </w:r>
      <w:r>
        <w:rPr>
          <w:b/>
          <w:bCs/>
          <w:i/>
          <w:iCs/>
          <w:sz w:val="28"/>
          <w:szCs w:val="24"/>
        </w:rPr>
        <w:t>Implementing Measures of the Shanghai Stock Exchange for the Shanghai-Hong Kong Stock Connect (2024)</w:t>
      </w:r>
    </w:p>
    <w:p>
      <w:pPr>
        <w:snapToGrid w:val="0"/>
        <w:spacing w:afterLines="100"/>
        <w:jc w:val="center"/>
      </w:pPr>
    </w:p>
    <w:p>
      <w:pPr>
        <w:snapToGrid w:val="0"/>
        <w:spacing w:afterLines="100"/>
      </w:pPr>
      <w:r>
        <w:t xml:space="preserve">Following the effectiveness of the </w:t>
      </w:r>
      <w:r>
        <w:rPr>
          <w:i/>
          <w:iCs/>
        </w:rPr>
        <w:t>Implementing Measures of the Shanghai Stock Exchange for the Shanghai-Hong Kong Stock Connect (2024)</w:t>
      </w:r>
      <w:r>
        <w:t>, the following arrangements will remain in effect.</w:t>
      </w:r>
      <w:bookmarkStart w:id="0" w:name="_GoBack"/>
      <w:bookmarkEnd w:id="0"/>
    </w:p>
    <w:p>
      <w:pPr>
        <w:snapToGrid w:val="0"/>
        <w:spacing w:afterLines="100"/>
        <w:ind w:left="360" w:hanging="360"/>
      </w:pPr>
      <w:r>
        <w:t>1.</w:t>
      </w:r>
      <w:r>
        <w:tab/>
      </w:r>
      <w:r>
        <w:t xml:space="preserve">The Shanghai-Hong Kong Stock Connect </w:t>
      </w:r>
      <w:r>
        <w:rPr>
          <w:rFonts w:hint="eastAsia"/>
        </w:rPr>
        <w:t>arrangement</w:t>
      </w:r>
      <w:r>
        <w:t xml:space="preserve"> and its IT systems presently do not support the special arrangements, such as in relation to tax and corporate </w:t>
      </w:r>
      <w:r>
        <w:rPr>
          <w:rFonts w:hint="eastAsia"/>
        </w:rPr>
        <w:t>actions</w:t>
      </w:r>
      <w:r>
        <w:t>, for certain foreign companies primarily listed in Hong Kong. Therefore, the stocks of these companies will not be available through the Southbound Trading Link at this time.</w:t>
      </w:r>
    </w:p>
    <w:p>
      <w:pPr>
        <w:snapToGrid w:val="0"/>
        <w:spacing w:afterLines="100"/>
        <w:ind w:left="360" w:hanging="360"/>
      </w:pPr>
      <w:r>
        <w:t>2.</w:t>
      </w:r>
      <w:r>
        <w:tab/>
      </w:r>
      <w:r>
        <w:t>Mainland investors who had access to the Northbound Trading Link before July 25, 2022 can still sell any eligible securities for the Northbound Trading Link that they hold, but active buying will not be permitted.</w:t>
      </w:r>
    </w:p>
    <w:p>
      <w:pPr>
        <w:snapToGrid w:val="0"/>
        <w:spacing w:afterLines="100"/>
        <w:ind w:left="360" w:hanging="360"/>
      </w:pPr>
      <w:r>
        <w:t>3.</w:t>
      </w:r>
      <w:r>
        <w:tab/>
      </w:r>
      <w:r>
        <w:t>Trade-at-close will still be unavailable to STAR</w:t>
      </w:r>
      <w:r>
        <w:rPr>
          <w:rFonts w:hint="eastAsia"/>
        </w:rPr>
        <w:t xml:space="preserve"> market</w:t>
      </w:r>
      <w:r>
        <w:t xml:space="preserve"> stocks offered through Northbound Trading Link. The provisions of Article 35 and Paragraph 2</w:t>
      </w:r>
      <w:r>
        <w:rPr>
          <w:rFonts w:hint="eastAsia"/>
        </w:rPr>
        <w:t xml:space="preserve"> of</w:t>
      </w:r>
      <w:r>
        <w:t xml:space="preserve"> Article 54 </w:t>
      </w:r>
      <w:r>
        <w:rPr>
          <w:rFonts w:hint="eastAsia"/>
        </w:rPr>
        <w:t>in</w:t>
      </w:r>
      <w:r>
        <w:t xml:space="preserve"> the </w:t>
      </w:r>
      <w:r>
        <w:rPr>
          <w:i/>
          <w:iCs/>
        </w:rPr>
        <w:t>Implementing Rules</w:t>
      </w:r>
      <w:r>
        <w:t xml:space="preserve"> regarding trade-at-close are not in effect until further notice.</w:t>
      </w:r>
    </w:p>
    <w:p>
      <w:pPr>
        <w:snapToGrid w:val="0"/>
        <w:spacing w:afterLines="100"/>
        <w:ind w:left="360"/>
      </w:pPr>
      <w:r>
        <w:t>Covered short selling of the Northbound Trading Link ETFs will also not be unavailable at this time. Accordingly, the provisions of Articles 38 to 40, Paragraph 2 of Article 41, and Article 42(1) regarding the covered short selling of Northbound Trading Link ETFs as Northbound Trading Link securities, are not in effect until further notice.</w:t>
      </w:r>
    </w:p>
    <w:p>
      <w:pPr>
        <w:snapToGrid w:val="0"/>
        <w:spacing w:afterLines="100"/>
        <w:ind w:left="360"/>
      </w:pPr>
      <w:r>
        <w:t>The Shanghai Stock Exchange will make a separate announcement on when the foregoing provisions will take effect.</w:t>
      </w:r>
    </w:p>
    <w:sectPr>
      <w:headerReference r:id="rId5" w:type="default"/>
      <w:pgSz w:w="11909" w:h="16834"/>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0000000000000000000"/>
    <w:charset w:val="86"/>
    <w:family w:val="roman"/>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59" w:lineRule="auto"/>
      </w:pPr>
      <w:r>
        <w:separator/>
      </w:r>
    </w:p>
  </w:footnote>
  <w:footnote w:type="continuationSeparator" w:id="1">
    <w:p>
      <w:pPr>
        <w:spacing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jc w:val="center"/>
      <w:rPr>
        <w:rFonts w:hint="eastAsia"/>
        <w:sz w:val="18"/>
        <w:szCs w:val="18"/>
      </w:rPr>
    </w:pPr>
  </w:p>
  <w:p>
    <w:pPr>
      <w:pStyle w:val="5"/>
      <w:pBdr>
        <w:bottom w:val="none" w:color="auto" w:sz="0" w:space="1"/>
      </w:pBdr>
      <w:jc w:val="center"/>
      <w:rPr>
        <w:rFonts w:hint="default" w:eastAsiaTheme="minorEastAsia"/>
        <w:sz w:val="18"/>
        <w:szCs w:val="18"/>
        <w:lang w:val="en-US" w:eastAsia="zh-CN"/>
      </w:rPr>
    </w:pPr>
    <w:r>
      <w:rPr>
        <w:rFonts w:hint="eastAsia"/>
        <w:sz w:val="18"/>
        <w:szCs w:val="18"/>
      </w:rPr>
      <w:t>This courtesy translation is for reference only. The original text in Chinese shall prevail under all circumstances.</w:t>
    </w:r>
  </w:p>
  <w:p>
    <w:pPr>
      <w:pStyle w:val="5"/>
      <w:rPr>
        <w:rFonts w:hint="eastAsia" w:eastAsiaTheme="minorEastAsia"/>
        <w:lang w:val="en-US"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1"/>
  <w:bordersDoNotSurroundFooter w:val="1"/>
  <w:documentProtection w:enforcement="0"/>
  <w:defaultTabStop w:val="720"/>
  <w:drawingGridHorizontalSpacing w:val="165"/>
  <w:displayVerticalDrawingGridEvery w:val="2"/>
  <w:characterSpacingControl w:val="doNotCompress"/>
  <w:footnotePr>
    <w:footnote w:id="0"/>
    <w:footnote w:id="1"/>
  </w:footnotePr>
  <w:endnotePr>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03"/>
    <w:rsid w:val="0002481E"/>
    <w:rsid w:val="000E30F1"/>
    <w:rsid w:val="001052AC"/>
    <w:rsid w:val="00137598"/>
    <w:rsid w:val="00140FDD"/>
    <w:rsid w:val="001508E8"/>
    <w:rsid w:val="00172A03"/>
    <w:rsid w:val="0018289C"/>
    <w:rsid w:val="001E2702"/>
    <w:rsid w:val="0021731B"/>
    <w:rsid w:val="00220126"/>
    <w:rsid w:val="0025629E"/>
    <w:rsid w:val="00295520"/>
    <w:rsid w:val="00304CFC"/>
    <w:rsid w:val="00322D35"/>
    <w:rsid w:val="003967BC"/>
    <w:rsid w:val="0039740A"/>
    <w:rsid w:val="003A4559"/>
    <w:rsid w:val="003F22B2"/>
    <w:rsid w:val="00482672"/>
    <w:rsid w:val="004A633F"/>
    <w:rsid w:val="005251A4"/>
    <w:rsid w:val="005B345B"/>
    <w:rsid w:val="0063158A"/>
    <w:rsid w:val="00652DAF"/>
    <w:rsid w:val="006D19BB"/>
    <w:rsid w:val="006E2450"/>
    <w:rsid w:val="007158AD"/>
    <w:rsid w:val="007334EA"/>
    <w:rsid w:val="00736C0C"/>
    <w:rsid w:val="00745AE9"/>
    <w:rsid w:val="007C1B21"/>
    <w:rsid w:val="007D7D81"/>
    <w:rsid w:val="0085008D"/>
    <w:rsid w:val="0087021D"/>
    <w:rsid w:val="008C5656"/>
    <w:rsid w:val="0092357E"/>
    <w:rsid w:val="00926389"/>
    <w:rsid w:val="0096082A"/>
    <w:rsid w:val="009A2DCC"/>
    <w:rsid w:val="009E600B"/>
    <w:rsid w:val="00A17F1A"/>
    <w:rsid w:val="00A74D8C"/>
    <w:rsid w:val="00A85860"/>
    <w:rsid w:val="00AF438B"/>
    <w:rsid w:val="00BB5241"/>
    <w:rsid w:val="00BF24C4"/>
    <w:rsid w:val="00C41F61"/>
    <w:rsid w:val="00D147B5"/>
    <w:rsid w:val="00D74768"/>
    <w:rsid w:val="00D91673"/>
    <w:rsid w:val="00D9184A"/>
    <w:rsid w:val="00DD14FF"/>
    <w:rsid w:val="00DE46F3"/>
    <w:rsid w:val="00E443F1"/>
    <w:rsid w:val="00E92C9F"/>
    <w:rsid w:val="00F20D59"/>
    <w:rsid w:val="00FB07C4"/>
    <w:rsid w:val="00FD6420"/>
    <w:rsid w:val="00FE49F7"/>
    <w:rsid w:val="00FF00CE"/>
    <w:rsid w:val="053609BE"/>
    <w:rsid w:val="29915199"/>
    <w:rsid w:val="30712061"/>
    <w:rsid w:val="3BFD6D8F"/>
    <w:rsid w:val="5FA10F8B"/>
    <w:rsid w:val="7DEB18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259" w:lineRule="auto"/>
    </w:pPr>
    <w:rPr>
      <w:rFonts w:ascii="Times New Roman" w:hAnsi="Times New Roman" w:eastAsiaTheme="minorEastAsia" w:cstheme="minorBidi"/>
      <w:kern w:val="2"/>
      <w:sz w:val="24"/>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1"/>
    <w:semiHidden/>
    <w:unhideWhenUsed/>
    <w:qFormat/>
    <w:uiPriority w:val="99"/>
    <w:pPr>
      <w:spacing w:line="240" w:lineRule="auto"/>
    </w:pPr>
    <w:rPr>
      <w:sz w:val="20"/>
      <w:szCs w:val="20"/>
    </w:rPr>
  </w:style>
  <w:style w:type="paragraph" w:styleId="3">
    <w:name w:val="Balloon Text"/>
    <w:basedOn w:val="1"/>
    <w:link w:val="13"/>
    <w:semiHidden/>
    <w:unhideWhenUsed/>
    <w:qFormat/>
    <w:uiPriority w:val="99"/>
    <w:pPr>
      <w:spacing w:line="240" w:lineRule="auto"/>
    </w:pPr>
    <w:rPr>
      <w:sz w:val="18"/>
      <w:szCs w:val="18"/>
    </w:rPr>
  </w:style>
  <w:style w:type="paragraph" w:styleId="4">
    <w:name w:val="footer"/>
    <w:basedOn w:val="1"/>
    <w:semiHidden/>
    <w:unhideWhenUsed/>
    <w:uiPriority w:val="99"/>
    <w:pPr>
      <w:tabs>
        <w:tab w:val="center" w:pos="4153"/>
        <w:tab w:val="right" w:pos="8306"/>
      </w:tabs>
      <w:snapToGrid w:val="0"/>
      <w:jc w:val="left"/>
    </w:pPr>
    <w:rPr>
      <w:sz w:val="18"/>
    </w:rPr>
  </w:style>
  <w:style w:type="paragraph" w:styleId="5">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annotation subject"/>
    <w:basedOn w:val="2"/>
    <w:next w:val="2"/>
    <w:link w:val="12"/>
    <w:semiHidden/>
    <w:unhideWhenUsed/>
    <w:qFormat/>
    <w:uiPriority w:val="99"/>
    <w:rPr>
      <w:b/>
      <w:bCs/>
    </w:rPr>
  </w:style>
  <w:style w:type="character" w:styleId="9">
    <w:name w:val="annotation reference"/>
    <w:basedOn w:val="8"/>
    <w:semiHidden/>
    <w:unhideWhenUsed/>
    <w:qFormat/>
    <w:uiPriority w:val="99"/>
    <w:rPr>
      <w:sz w:val="16"/>
      <w:szCs w:val="16"/>
    </w:rPr>
  </w:style>
  <w:style w:type="paragraph" w:customStyle="1" w:styleId="10">
    <w:name w:val="Revision"/>
    <w:hidden/>
    <w:unhideWhenUsed/>
    <w:qFormat/>
    <w:uiPriority w:val="99"/>
    <w:rPr>
      <w:rFonts w:ascii="Times New Roman" w:hAnsi="Times New Roman" w:eastAsiaTheme="minorEastAsia" w:cstheme="minorBidi"/>
      <w:kern w:val="2"/>
      <w:sz w:val="24"/>
      <w:szCs w:val="22"/>
      <w:lang w:val="en-US" w:eastAsia="zh-CN" w:bidi="ar-SA"/>
    </w:rPr>
  </w:style>
  <w:style w:type="character" w:customStyle="1" w:styleId="11">
    <w:name w:val="批注文字 Char"/>
    <w:basedOn w:val="8"/>
    <w:link w:val="2"/>
    <w:semiHidden/>
    <w:qFormat/>
    <w:uiPriority w:val="99"/>
    <w:rPr>
      <w:kern w:val="2"/>
    </w:rPr>
  </w:style>
  <w:style w:type="character" w:customStyle="1" w:styleId="12">
    <w:name w:val="批注主题 Char"/>
    <w:basedOn w:val="11"/>
    <w:link w:val="6"/>
    <w:semiHidden/>
    <w:qFormat/>
    <w:uiPriority w:val="99"/>
    <w:rPr>
      <w:b/>
      <w:bCs/>
      <w:kern w:val="2"/>
    </w:rPr>
  </w:style>
  <w:style w:type="character" w:customStyle="1" w:styleId="13">
    <w:name w:val="批注框文本 Char"/>
    <w:basedOn w:val="8"/>
    <w:link w:val="3"/>
    <w:semiHidden/>
    <w:qFormat/>
    <w:uiPriority w:val="99"/>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0792AA-14F3-4CC8-9DCF-BDFFCD24B842}">
  <ds:schemaRefs/>
</ds:datastoreItem>
</file>

<file path=docProps/app.xml><?xml version="1.0" encoding="utf-8"?>
<Properties xmlns="http://schemas.openxmlformats.org/officeDocument/2006/extended-properties" xmlns:vt="http://schemas.openxmlformats.org/officeDocument/2006/docPropsVTypes">
  <Template>Normal.dotm</Template>
  <Pages>1</Pages>
  <Words>247</Words>
  <Characters>1354</Characters>
  <Lines>11</Lines>
  <Paragraphs>3</Paragraphs>
  <TotalTime>1</TotalTime>
  <ScaleCrop>false</ScaleCrop>
  <LinksUpToDate>false</LinksUpToDate>
  <CharactersWithSpaces>1599</CharactersWithSpaces>
  <Application>WPS Office_11.8.2.12187_F1E327BC-269C-435d-A152-05C5408002CA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2024-12-24T02:26:00Z</dcterms:created>
  <dc:creator>Ubica</dc:creator>
  <cp:lastModifiedBy>zcying</cp:lastModifiedBy>
  <dcterms:modified xsi:type="dcterms:W3CDTF">2025-01-20T06:53:52Z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2052-11.8.2.12187</vt:lpwstr>
  </property>
  <property fmtid="{D5CDD505-2E9C-101B-9397-08002B2CF9AE}" pid="3" name="ICV">
    <vt:lpwstr>DF5AB0B282D14150B94F4247A8ECD29A</vt:lpwstr>
  </property>
</Properties>
</file>