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5A" w:rsidRDefault="00B21C5A" w:rsidP="00B13976">
      <w:pPr>
        <w:spacing w:before="0" w:beforeAutospacing="0" w:after="0" w:afterAutospacing="0"/>
        <w:ind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7C4DD5" w:rsidRDefault="005D74D8" w:rsidP="00B13976">
      <w:pPr>
        <w:spacing w:before="0" w:beforeAutospacing="0" w:after="0" w:afterAutospacing="0"/>
        <w:ind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 w:rsidRPr="00B21C5A">
        <w:rPr>
          <w:rFonts w:ascii="黑体" w:eastAsia="黑体" w:hAnsi="黑体" w:hint="eastAsia"/>
          <w:b/>
          <w:sz w:val="32"/>
          <w:szCs w:val="32"/>
        </w:rPr>
        <w:t>上</w:t>
      </w:r>
      <w:proofErr w:type="gramStart"/>
      <w:r w:rsidRPr="00B21C5A">
        <w:rPr>
          <w:rFonts w:ascii="黑体" w:eastAsia="黑体" w:hAnsi="黑体" w:hint="eastAsia"/>
          <w:b/>
          <w:sz w:val="32"/>
          <w:szCs w:val="32"/>
        </w:rPr>
        <w:t>证公司</w:t>
      </w:r>
      <w:proofErr w:type="gramEnd"/>
      <w:r w:rsidRPr="00B21C5A">
        <w:rPr>
          <w:rFonts w:ascii="黑体" w:eastAsia="黑体" w:hAnsi="黑体" w:hint="eastAsia"/>
          <w:b/>
          <w:sz w:val="32"/>
          <w:szCs w:val="32"/>
        </w:rPr>
        <w:t>治理板块评选</w:t>
      </w:r>
      <w:r w:rsidR="005C7AA3">
        <w:rPr>
          <w:rFonts w:ascii="黑体" w:eastAsia="黑体" w:hAnsi="黑体" w:hint="eastAsia"/>
          <w:b/>
          <w:sz w:val="32"/>
          <w:szCs w:val="32"/>
        </w:rPr>
        <w:t>方</w:t>
      </w:r>
      <w:r w:rsidRPr="00B21C5A">
        <w:rPr>
          <w:rFonts w:ascii="黑体" w:eastAsia="黑体" w:hAnsi="黑体" w:hint="eastAsia"/>
          <w:b/>
          <w:sz w:val="32"/>
          <w:szCs w:val="32"/>
        </w:rPr>
        <w:t>法</w:t>
      </w:r>
    </w:p>
    <w:p w:rsidR="00B21C5A" w:rsidRPr="00B21C5A" w:rsidRDefault="00B21C5A" w:rsidP="00B13976">
      <w:pPr>
        <w:spacing w:before="0" w:beforeAutospacing="0" w:after="0" w:afterAutospacing="0"/>
        <w:ind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476FE6" w:rsidRPr="007F26ED" w:rsidRDefault="00D40094" w:rsidP="00B13976">
      <w:pPr>
        <w:spacing w:before="0" w:beforeAutospacing="0" w:after="0" w:afterAutospacing="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54390E" w:rsidRPr="007F26ED">
        <w:rPr>
          <w:rFonts w:hint="eastAsia"/>
          <w:sz w:val="28"/>
          <w:szCs w:val="28"/>
        </w:rPr>
        <w:t>进一步促进上市公司改善治理水平，</w:t>
      </w:r>
      <w:r>
        <w:rPr>
          <w:rFonts w:hint="eastAsia"/>
          <w:sz w:val="28"/>
          <w:szCs w:val="28"/>
        </w:rPr>
        <w:t>提高上市公司质量，</w:t>
      </w:r>
      <w:r w:rsidR="0054390E" w:rsidRPr="007F26ED">
        <w:rPr>
          <w:rFonts w:hint="eastAsia"/>
          <w:sz w:val="28"/>
          <w:szCs w:val="28"/>
        </w:rPr>
        <w:t>上海证券交易所和中证指数有限</w:t>
      </w:r>
      <w:r w:rsidR="00476FE6" w:rsidRPr="007F26ED">
        <w:rPr>
          <w:rFonts w:hint="eastAsia"/>
          <w:sz w:val="28"/>
          <w:szCs w:val="28"/>
        </w:rPr>
        <w:t>公司</w:t>
      </w:r>
      <w:r w:rsidR="00B21C5A">
        <w:rPr>
          <w:rFonts w:hint="eastAsia"/>
          <w:sz w:val="28"/>
          <w:szCs w:val="28"/>
        </w:rPr>
        <w:t>制定</w:t>
      </w:r>
      <w:r w:rsidR="00476FE6" w:rsidRPr="007F26ED">
        <w:rPr>
          <w:rFonts w:hint="eastAsia"/>
          <w:sz w:val="28"/>
          <w:szCs w:val="28"/>
        </w:rPr>
        <w:t>了上证公司治理板块评选</w:t>
      </w:r>
      <w:r w:rsidR="00B21C5A">
        <w:rPr>
          <w:rFonts w:hint="eastAsia"/>
          <w:sz w:val="28"/>
          <w:szCs w:val="28"/>
        </w:rPr>
        <w:t>方</w:t>
      </w:r>
      <w:r w:rsidR="00476FE6" w:rsidRPr="007F26ED">
        <w:rPr>
          <w:rFonts w:hint="eastAsia"/>
          <w:sz w:val="28"/>
          <w:szCs w:val="28"/>
        </w:rPr>
        <w:t>法。</w:t>
      </w:r>
    </w:p>
    <w:p w:rsidR="00476FE6" w:rsidRPr="001A7D7E" w:rsidRDefault="00476FE6" w:rsidP="00B13976">
      <w:pPr>
        <w:spacing w:before="0" w:beforeAutospacing="0" w:after="0" w:afterAutospacing="0"/>
        <w:ind w:firstLine="562"/>
        <w:rPr>
          <w:b/>
          <w:bCs/>
          <w:sz w:val="28"/>
          <w:szCs w:val="28"/>
        </w:rPr>
      </w:pPr>
      <w:r w:rsidRPr="001A7D7E">
        <w:rPr>
          <w:rFonts w:hint="eastAsia"/>
          <w:b/>
          <w:bCs/>
          <w:sz w:val="28"/>
          <w:szCs w:val="28"/>
        </w:rPr>
        <w:t>一、评选范围</w:t>
      </w:r>
    </w:p>
    <w:p w:rsidR="00476FE6" w:rsidRPr="007F26ED" w:rsidRDefault="00476FE6" w:rsidP="00B13976">
      <w:pPr>
        <w:spacing w:before="0" w:beforeAutospacing="0" w:after="0" w:afterAutospacing="0"/>
        <w:ind w:firstLine="560"/>
        <w:rPr>
          <w:sz w:val="28"/>
          <w:szCs w:val="28"/>
        </w:rPr>
      </w:pPr>
      <w:r w:rsidRPr="007F26ED">
        <w:rPr>
          <w:rFonts w:hint="eastAsia"/>
          <w:sz w:val="28"/>
          <w:szCs w:val="28"/>
        </w:rPr>
        <w:t>上海证券交易所</w:t>
      </w:r>
      <w:r w:rsidR="007E143F">
        <w:rPr>
          <w:rFonts w:hint="eastAsia"/>
          <w:sz w:val="28"/>
          <w:szCs w:val="28"/>
        </w:rPr>
        <w:t>上市</w:t>
      </w:r>
      <w:r w:rsidRPr="003A3DFA">
        <w:rPr>
          <w:rFonts w:hint="eastAsia"/>
          <w:sz w:val="28"/>
          <w:szCs w:val="28"/>
        </w:rPr>
        <w:t>公司</w:t>
      </w:r>
    </w:p>
    <w:p w:rsidR="005D74D8" w:rsidRPr="001A7D7E" w:rsidRDefault="00476FE6" w:rsidP="00B13976">
      <w:pPr>
        <w:spacing w:before="0" w:beforeAutospacing="0" w:after="0" w:afterAutospacing="0"/>
        <w:ind w:firstLine="562"/>
        <w:rPr>
          <w:b/>
          <w:bCs/>
          <w:sz w:val="28"/>
          <w:szCs w:val="28"/>
        </w:rPr>
      </w:pPr>
      <w:r w:rsidRPr="001A7D7E">
        <w:rPr>
          <w:rFonts w:hint="eastAsia"/>
          <w:b/>
          <w:bCs/>
          <w:sz w:val="28"/>
          <w:szCs w:val="28"/>
        </w:rPr>
        <w:t>二、评选方法</w:t>
      </w:r>
    </w:p>
    <w:p w:rsidR="00956E57" w:rsidRDefault="00956E57" w:rsidP="00B13976">
      <w:pPr>
        <w:spacing w:before="0" w:beforeAutospacing="0" w:after="0" w:afterAutospacing="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7B2F1F" w:rsidRPr="007F26ED">
        <w:rPr>
          <w:rFonts w:hint="eastAsia"/>
          <w:sz w:val="28"/>
          <w:szCs w:val="28"/>
        </w:rPr>
        <w:t>剔除不满足</w:t>
      </w:r>
      <w:r>
        <w:rPr>
          <w:rFonts w:hint="eastAsia"/>
          <w:sz w:val="28"/>
          <w:szCs w:val="28"/>
        </w:rPr>
        <w:t>以下</w:t>
      </w:r>
      <w:r w:rsidR="007B2F1F" w:rsidRPr="007F26ED">
        <w:rPr>
          <w:rFonts w:hint="eastAsia"/>
          <w:sz w:val="28"/>
          <w:szCs w:val="28"/>
        </w:rPr>
        <w:t>条件的上市公司</w:t>
      </w:r>
      <w:r>
        <w:rPr>
          <w:rFonts w:hint="eastAsia"/>
          <w:sz w:val="28"/>
          <w:szCs w:val="28"/>
        </w:rPr>
        <w:t>：</w:t>
      </w:r>
    </w:p>
    <w:p w:rsidR="00956E57" w:rsidRDefault="007B2F1F" w:rsidP="00B13976">
      <w:pPr>
        <w:spacing w:before="0" w:beforeAutospacing="0" w:after="0" w:afterAutospacing="0"/>
        <w:ind w:firstLine="560"/>
        <w:rPr>
          <w:sz w:val="28"/>
          <w:szCs w:val="28"/>
        </w:rPr>
      </w:pPr>
      <w:r w:rsidRPr="007F26ED">
        <w:rPr>
          <w:rFonts w:hint="eastAsia"/>
          <w:sz w:val="28"/>
          <w:szCs w:val="28"/>
        </w:rPr>
        <w:t>（</w:t>
      </w:r>
      <w:r w:rsidRPr="007F26ED">
        <w:rPr>
          <w:rFonts w:hint="eastAsia"/>
          <w:sz w:val="28"/>
          <w:szCs w:val="28"/>
        </w:rPr>
        <w:t>1</w:t>
      </w:r>
      <w:r w:rsidRPr="007F26ED">
        <w:rPr>
          <w:rFonts w:hint="eastAsia"/>
          <w:sz w:val="28"/>
          <w:szCs w:val="28"/>
        </w:rPr>
        <w:t>）上市时间满一年；</w:t>
      </w:r>
    </w:p>
    <w:p w:rsidR="00956E57" w:rsidRDefault="007B2F1F" w:rsidP="00B13976">
      <w:pPr>
        <w:spacing w:before="0" w:beforeAutospacing="0" w:after="0" w:afterAutospacing="0"/>
        <w:ind w:firstLine="560"/>
        <w:rPr>
          <w:sz w:val="28"/>
          <w:szCs w:val="28"/>
        </w:rPr>
      </w:pPr>
      <w:r w:rsidRPr="007F26ED">
        <w:rPr>
          <w:rFonts w:hint="eastAsia"/>
          <w:sz w:val="28"/>
          <w:szCs w:val="28"/>
        </w:rPr>
        <w:t>（</w:t>
      </w:r>
      <w:r w:rsidRPr="007F26ED">
        <w:rPr>
          <w:rFonts w:hint="eastAsia"/>
          <w:sz w:val="28"/>
          <w:szCs w:val="28"/>
        </w:rPr>
        <w:t>2</w:t>
      </w:r>
      <w:r w:rsidRPr="007F26ED">
        <w:rPr>
          <w:rFonts w:hint="eastAsia"/>
          <w:sz w:val="28"/>
          <w:szCs w:val="28"/>
        </w:rPr>
        <w:t>）非</w:t>
      </w:r>
      <w:r w:rsidRPr="007F26ED">
        <w:rPr>
          <w:rFonts w:hint="eastAsia"/>
          <w:sz w:val="28"/>
          <w:szCs w:val="28"/>
        </w:rPr>
        <w:t>ST,*ST</w:t>
      </w:r>
      <w:r w:rsidRPr="007F26ED">
        <w:rPr>
          <w:rFonts w:hint="eastAsia"/>
          <w:sz w:val="28"/>
          <w:szCs w:val="28"/>
        </w:rPr>
        <w:t>；</w:t>
      </w:r>
    </w:p>
    <w:p w:rsidR="00956E57" w:rsidRDefault="007B2F1F" w:rsidP="00B13976">
      <w:pPr>
        <w:spacing w:before="0" w:beforeAutospacing="0" w:after="0" w:afterAutospacing="0"/>
        <w:ind w:firstLine="560"/>
        <w:rPr>
          <w:sz w:val="28"/>
          <w:szCs w:val="28"/>
        </w:rPr>
      </w:pPr>
      <w:r w:rsidRPr="007F26ED">
        <w:rPr>
          <w:rFonts w:hint="eastAsia"/>
          <w:sz w:val="28"/>
          <w:szCs w:val="28"/>
        </w:rPr>
        <w:t>（</w:t>
      </w:r>
      <w:r w:rsidRPr="007F26ED">
        <w:rPr>
          <w:rFonts w:hint="eastAsia"/>
          <w:sz w:val="28"/>
          <w:szCs w:val="28"/>
        </w:rPr>
        <w:t>3</w:t>
      </w:r>
      <w:r w:rsidRPr="007F26ED">
        <w:rPr>
          <w:rFonts w:hint="eastAsia"/>
          <w:sz w:val="28"/>
          <w:szCs w:val="28"/>
        </w:rPr>
        <w:t>）近一年无违法违规事件；</w:t>
      </w:r>
    </w:p>
    <w:p w:rsidR="00956E57" w:rsidRDefault="007B2F1F" w:rsidP="00B13976">
      <w:pPr>
        <w:spacing w:before="0" w:beforeAutospacing="0" w:after="0" w:afterAutospacing="0"/>
        <w:ind w:firstLine="560"/>
        <w:rPr>
          <w:sz w:val="28"/>
          <w:szCs w:val="28"/>
        </w:rPr>
      </w:pPr>
      <w:r w:rsidRPr="007F26ED">
        <w:rPr>
          <w:rFonts w:hint="eastAsia"/>
          <w:sz w:val="28"/>
          <w:szCs w:val="28"/>
        </w:rPr>
        <w:t>（</w:t>
      </w:r>
      <w:r w:rsidRPr="007F26ED">
        <w:rPr>
          <w:rFonts w:hint="eastAsia"/>
          <w:sz w:val="28"/>
          <w:szCs w:val="28"/>
        </w:rPr>
        <w:t>4</w:t>
      </w:r>
      <w:r w:rsidRPr="007F26ED">
        <w:rPr>
          <w:rFonts w:hint="eastAsia"/>
          <w:sz w:val="28"/>
          <w:szCs w:val="28"/>
        </w:rPr>
        <w:t>）近一年无债务违约；</w:t>
      </w:r>
    </w:p>
    <w:p w:rsidR="007B2F1F" w:rsidRPr="007F26ED" w:rsidRDefault="007B2F1F" w:rsidP="00B13976">
      <w:pPr>
        <w:spacing w:before="0" w:beforeAutospacing="0" w:after="0" w:afterAutospacing="0"/>
        <w:ind w:firstLine="560"/>
        <w:rPr>
          <w:sz w:val="28"/>
          <w:szCs w:val="28"/>
        </w:rPr>
      </w:pPr>
      <w:r w:rsidRPr="007F26ED">
        <w:rPr>
          <w:rFonts w:hint="eastAsia"/>
          <w:sz w:val="28"/>
          <w:szCs w:val="28"/>
        </w:rPr>
        <w:t>（</w:t>
      </w:r>
      <w:r w:rsidRPr="007F26ED">
        <w:rPr>
          <w:rFonts w:hint="eastAsia"/>
          <w:sz w:val="28"/>
          <w:szCs w:val="28"/>
        </w:rPr>
        <w:t>5</w:t>
      </w:r>
      <w:r w:rsidRPr="007F26ED">
        <w:rPr>
          <w:rFonts w:hint="eastAsia"/>
          <w:sz w:val="28"/>
          <w:szCs w:val="28"/>
        </w:rPr>
        <w:t>）年报审计意见是“标准无保留意见”。</w:t>
      </w:r>
    </w:p>
    <w:p w:rsidR="00956E57" w:rsidRDefault="00956E57" w:rsidP="00B13976">
      <w:pPr>
        <w:spacing w:before="0" w:beforeAutospacing="0" w:after="0" w:afterAutospacing="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7F26ED">
        <w:rPr>
          <w:rFonts w:hint="eastAsia"/>
          <w:sz w:val="28"/>
          <w:szCs w:val="28"/>
        </w:rPr>
        <w:t>通过股东治理、董事会治理、监事会治理、高管人员治理、控股股东与关联方、信息披露与透明度、管理运营等七个维度</w:t>
      </w:r>
      <w:r>
        <w:rPr>
          <w:rFonts w:hint="eastAsia"/>
          <w:sz w:val="28"/>
          <w:szCs w:val="28"/>
        </w:rPr>
        <w:t>对上市公司</w:t>
      </w:r>
      <w:r w:rsidRPr="007F26ED"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</w:rPr>
        <w:t>公司治理</w:t>
      </w:r>
      <w:r w:rsidRPr="007F26ED">
        <w:rPr>
          <w:rFonts w:hint="eastAsia"/>
          <w:sz w:val="28"/>
          <w:szCs w:val="28"/>
        </w:rPr>
        <w:t>评分</w:t>
      </w:r>
      <w:r>
        <w:rPr>
          <w:rFonts w:hint="eastAsia"/>
          <w:sz w:val="28"/>
          <w:szCs w:val="28"/>
        </w:rPr>
        <w:t>，</w:t>
      </w:r>
      <w:r w:rsidR="00D86CB3" w:rsidRPr="007F26ED">
        <w:rPr>
          <w:rFonts w:hint="eastAsia"/>
          <w:sz w:val="28"/>
          <w:szCs w:val="28"/>
        </w:rPr>
        <w:t>选取</w:t>
      </w:r>
      <w:r>
        <w:rPr>
          <w:rFonts w:hint="eastAsia"/>
          <w:sz w:val="28"/>
          <w:szCs w:val="28"/>
        </w:rPr>
        <w:t>公司</w:t>
      </w:r>
      <w:r w:rsidR="00D86CB3" w:rsidRPr="007F26ED">
        <w:rPr>
          <w:rFonts w:hint="eastAsia"/>
          <w:sz w:val="28"/>
          <w:szCs w:val="28"/>
        </w:rPr>
        <w:t>治理</w:t>
      </w:r>
      <w:r>
        <w:rPr>
          <w:rFonts w:hint="eastAsia"/>
          <w:sz w:val="28"/>
          <w:szCs w:val="28"/>
        </w:rPr>
        <w:t>评分较高</w:t>
      </w:r>
      <w:r w:rsidR="00D86CB3" w:rsidRPr="007F26ED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家上市</w:t>
      </w:r>
      <w:r w:rsidR="00D86CB3" w:rsidRPr="007F26ED">
        <w:rPr>
          <w:rFonts w:hint="eastAsia"/>
          <w:sz w:val="28"/>
          <w:szCs w:val="28"/>
        </w:rPr>
        <w:t>公司构成上</w:t>
      </w:r>
      <w:proofErr w:type="gramStart"/>
      <w:r w:rsidR="00D86CB3" w:rsidRPr="007F26ED">
        <w:rPr>
          <w:rFonts w:hint="eastAsia"/>
          <w:sz w:val="28"/>
          <w:szCs w:val="28"/>
        </w:rPr>
        <w:t>证公司</w:t>
      </w:r>
      <w:proofErr w:type="gramEnd"/>
      <w:r w:rsidR="00D86CB3" w:rsidRPr="007F26ED">
        <w:rPr>
          <w:rFonts w:hint="eastAsia"/>
          <w:sz w:val="28"/>
          <w:szCs w:val="28"/>
        </w:rPr>
        <w:t>治理板块。</w:t>
      </w:r>
    </w:p>
    <w:p w:rsidR="007B2F1F" w:rsidRPr="007F26ED" w:rsidRDefault="00D86CB3" w:rsidP="00B13976">
      <w:pPr>
        <w:spacing w:before="0" w:beforeAutospacing="0" w:after="0" w:afterAutospacing="0"/>
        <w:ind w:firstLine="560"/>
        <w:rPr>
          <w:sz w:val="28"/>
          <w:szCs w:val="28"/>
        </w:rPr>
      </w:pPr>
      <w:r w:rsidRPr="007F26ED">
        <w:rPr>
          <w:rFonts w:hint="eastAsia"/>
          <w:sz w:val="28"/>
          <w:szCs w:val="28"/>
        </w:rPr>
        <w:t>其中，股东治理维度</w:t>
      </w:r>
      <w:proofErr w:type="gramStart"/>
      <w:r w:rsidR="00F37C6B" w:rsidRPr="007F26ED">
        <w:rPr>
          <w:rFonts w:hint="eastAsia"/>
          <w:sz w:val="28"/>
          <w:szCs w:val="28"/>
        </w:rPr>
        <w:t>考量</w:t>
      </w:r>
      <w:proofErr w:type="gramEnd"/>
      <w:r w:rsidR="00F37C6B" w:rsidRPr="007F26ED">
        <w:rPr>
          <w:rFonts w:hint="eastAsia"/>
          <w:sz w:val="28"/>
          <w:szCs w:val="28"/>
        </w:rPr>
        <w:t>上市公司对股东利益的保障情况等要素</w:t>
      </w:r>
      <w:r w:rsidRPr="007F26ED">
        <w:rPr>
          <w:rFonts w:hint="eastAsia"/>
          <w:sz w:val="28"/>
          <w:szCs w:val="28"/>
        </w:rPr>
        <w:t>，董事会治理维度</w:t>
      </w:r>
      <w:proofErr w:type="gramStart"/>
      <w:r w:rsidR="00F37C6B" w:rsidRPr="007F26ED">
        <w:rPr>
          <w:rFonts w:hint="eastAsia"/>
          <w:sz w:val="28"/>
          <w:szCs w:val="28"/>
        </w:rPr>
        <w:t>考量</w:t>
      </w:r>
      <w:proofErr w:type="gramEnd"/>
      <w:r w:rsidR="00F37C6B" w:rsidRPr="007F26ED">
        <w:rPr>
          <w:rFonts w:hint="eastAsia"/>
          <w:sz w:val="28"/>
          <w:szCs w:val="28"/>
        </w:rPr>
        <w:t>董事会结构合理性、董事履职情况、专业性等要素</w:t>
      </w:r>
      <w:r w:rsidRPr="007F26ED">
        <w:rPr>
          <w:rFonts w:hint="eastAsia"/>
          <w:sz w:val="28"/>
          <w:szCs w:val="28"/>
        </w:rPr>
        <w:t>，监事会治理维度</w:t>
      </w:r>
      <w:proofErr w:type="gramStart"/>
      <w:r w:rsidR="00F37C6B" w:rsidRPr="007F26ED">
        <w:rPr>
          <w:rFonts w:hint="eastAsia"/>
          <w:sz w:val="28"/>
          <w:szCs w:val="28"/>
        </w:rPr>
        <w:t>考量</w:t>
      </w:r>
      <w:proofErr w:type="gramEnd"/>
      <w:r w:rsidR="00F37C6B" w:rsidRPr="007F26ED">
        <w:rPr>
          <w:rFonts w:hint="eastAsia"/>
          <w:sz w:val="28"/>
          <w:szCs w:val="28"/>
        </w:rPr>
        <w:t>监事会结构合理性、独立性等要素</w:t>
      </w:r>
      <w:r w:rsidRPr="007F26ED">
        <w:rPr>
          <w:rFonts w:hint="eastAsia"/>
          <w:sz w:val="28"/>
          <w:szCs w:val="28"/>
        </w:rPr>
        <w:t>，高管人员治理维度</w:t>
      </w:r>
      <w:proofErr w:type="gramStart"/>
      <w:r w:rsidR="00F37C6B" w:rsidRPr="007F26ED">
        <w:rPr>
          <w:rFonts w:hint="eastAsia"/>
          <w:sz w:val="28"/>
          <w:szCs w:val="28"/>
        </w:rPr>
        <w:t>考量</w:t>
      </w:r>
      <w:proofErr w:type="gramEnd"/>
      <w:r w:rsidR="00F37C6B" w:rsidRPr="007F26ED">
        <w:rPr>
          <w:rFonts w:hint="eastAsia"/>
          <w:sz w:val="28"/>
          <w:szCs w:val="28"/>
        </w:rPr>
        <w:t>高管薪酬</w:t>
      </w:r>
      <w:r w:rsidR="00247544">
        <w:rPr>
          <w:rFonts w:hint="eastAsia"/>
          <w:sz w:val="28"/>
          <w:szCs w:val="28"/>
        </w:rPr>
        <w:t>业绩</w:t>
      </w:r>
      <w:r w:rsidR="00F37C6B" w:rsidRPr="007F26ED">
        <w:rPr>
          <w:rFonts w:hint="eastAsia"/>
          <w:sz w:val="28"/>
          <w:szCs w:val="28"/>
        </w:rPr>
        <w:t>敏感性、高管稳定性等要素</w:t>
      </w:r>
      <w:r w:rsidRPr="007F26ED">
        <w:rPr>
          <w:rFonts w:hint="eastAsia"/>
          <w:sz w:val="28"/>
          <w:szCs w:val="28"/>
        </w:rPr>
        <w:t>，控股股东</w:t>
      </w:r>
      <w:r w:rsidRPr="007F26ED">
        <w:rPr>
          <w:rFonts w:hint="eastAsia"/>
          <w:sz w:val="28"/>
          <w:szCs w:val="28"/>
        </w:rPr>
        <w:lastRenderedPageBreak/>
        <w:t>与关联方维度</w:t>
      </w:r>
      <w:proofErr w:type="gramStart"/>
      <w:r w:rsidR="00F37C6B" w:rsidRPr="007F26ED">
        <w:rPr>
          <w:rFonts w:hint="eastAsia"/>
          <w:sz w:val="28"/>
          <w:szCs w:val="28"/>
        </w:rPr>
        <w:t>考量</w:t>
      </w:r>
      <w:proofErr w:type="gramEnd"/>
      <w:r w:rsidR="00F37C6B" w:rsidRPr="007F26ED">
        <w:rPr>
          <w:rFonts w:hint="eastAsia"/>
          <w:sz w:val="28"/>
          <w:szCs w:val="28"/>
        </w:rPr>
        <w:t>上市公司的独立性、控股股东及关联方行为规范性等要素</w:t>
      </w:r>
      <w:r w:rsidRPr="007F26ED">
        <w:rPr>
          <w:rFonts w:hint="eastAsia"/>
          <w:sz w:val="28"/>
          <w:szCs w:val="28"/>
        </w:rPr>
        <w:t>，信息披露与透明度维度</w:t>
      </w:r>
      <w:proofErr w:type="gramStart"/>
      <w:r w:rsidR="00F37C6B" w:rsidRPr="007F26ED">
        <w:rPr>
          <w:rFonts w:hint="eastAsia"/>
          <w:sz w:val="28"/>
          <w:szCs w:val="28"/>
        </w:rPr>
        <w:t>考量</w:t>
      </w:r>
      <w:proofErr w:type="gramEnd"/>
      <w:r w:rsidR="00F37C6B" w:rsidRPr="007F26ED">
        <w:rPr>
          <w:rFonts w:hint="eastAsia"/>
          <w:sz w:val="28"/>
          <w:szCs w:val="28"/>
        </w:rPr>
        <w:t>信息披露状况</w:t>
      </w:r>
      <w:r w:rsidR="00982505" w:rsidRPr="007F26ED">
        <w:rPr>
          <w:rFonts w:hint="eastAsia"/>
          <w:sz w:val="28"/>
          <w:szCs w:val="28"/>
        </w:rPr>
        <w:t>等要素</w:t>
      </w:r>
      <w:r w:rsidRPr="007F26ED">
        <w:rPr>
          <w:rFonts w:hint="eastAsia"/>
          <w:sz w:val="28"/>
          <w:szCs w:val="28"/>
        </w:rPr>
        <w:t>，管理运营维度</w:t>
      </w:r>
      <w:proofErr w:type="gramStart"/>
      <w:r w:rsidR="00F37C6B" w:rsidRPr="007F26ED">
        <w:rPr>
          <w:rFonts w:hint="eastAsia"/>
          <w:sz w:val="28"/>
          <w:szCs w:val="28"/>
        </w:rPr>
        <w:t>考量</w:t>
      </w:r>
      <w:proofErr w:type="gramEnd"/>
      <w:r w:rsidR="00982505" w:rsidRPr="007F26ED">
        <w:rPr>
          <w:rFonts w:hint="eastAsia"/>
          <w:sz w:val="28"/>
          <w:szCs w:val="28"/>
        </w:rPr>
        <w:t>财务质量、资产质量、偿债能力等要素。</w:t>
      </w:r>
    </w:p>
    <w:p w:rsidR="007F26ED" w:rsidRPr="001A7D7E" w:rsidRDefault="007F26ED" w:rsidP="00B13976">
      <w:pPr>
        <w:spacing w:before="0" w:beforeAutospacing="0" w:after="0" w:afterAutospacing="0"/>
        <w:ind w:firstLine="562"/>
        <w:rPr>
          <w:b/>
          <w:bCs/>
          <w:sz w:val="28"/>
          <w:szCs w:val="28"/>
        </w:rPr>
      </w:pPr>
      <w:r w:rsidRPr="001A7D7E">
        <w:rPr>
          <w:rFonts w:hint="eastAsia"/>
          <w:b/>
          <w:bCs/>
          <w:sz w:val="28"/>
          <w:szCs w:val="28"/>
        </w:rPr>
        <w:t>三、评选频率</w:t>
      </w:r>
    </w:p>
    <w:p w:rsidR="00B4330A" w:rsidRDefault="008F009F">
      <w:pPr>
        <w:widowControl/>
        <w:spacing w:before="0" w:beforeAutospacing="0" w:after="0" w:afterAutospacing="0" w:line="240" w:lineRule="auto"/>
        <w:ind w:firstLineChars="0" w:firstLine="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F26ED" w:rsidRPr="007F26ED">
        <w:rPr>
          <w:rFonts w:hint="eastAsia"/>
          <w:sz w:val="28"/>
          <w:szCs w:val="28"/>
        </w:rPr>
        <w:t>上</w:t>
      </w:r>
      <w:proofErr w:type="gramStart"/>
      <w:r w:rsidR="007F26ED" w:rsidRPr="007F26ED">
        <w:rPr>
          <w:rFonts w:hint="eastAsia"/>
          <w:sz w:val="28"/>
          <w:szCs w:val="28"/>
        </w:rPr>
        <w:t>证公司</w:t>
      </w:r>
      <w:proofErr w:type="gramEnd"/>
      <w:r w:rsidR="007F26ED" w:rsidRPr="007F26ED">
        <w:rPr>
          <w:rFonts w:hint="eastAsia"/>
          <w:sz w:val="28"/>
          <w:szCs w:val="28"/>
        </w:rPr>
        <w:t>治理板块每半年评选一次，评选时间为</w:t>
      </w:r>
      <w:r w:rsidR="007F26ED" w:rsidRPr="007F26ED">
        <w:rPr>
          <w:rFonts w:hint="eastAsia"/>
          <w:sz w:val="28"/>
          <w:szCs w:val="28"/>
        </w:rPr>
        <w:t>5</w:t>
      </w:r>
      <w:r w:rsidR="007F26ED" w:rsidRPr="007F26ED">
        <w:rPr>
          <w:rFonts w:hint="eastAsia"/>
          <w:sz w:val="28"/>
          <w:szCs w:val="28"/>
        </w:rPr>
        <w:t>月和</w:t>
      </w:r>
      <w:r w:rsidR="007F26ED" w:rsidRPr="007F26ED">
        <w:rPr>
          <w:rFonts w:hint="eastAsia"/>
          <w:sz w:val="28"/>
          <w:szCs w:val="28"/>
        </w:rPr>
        <w:t>11</w:t>
      </w:r>
      <w:r w:rsidR="007F26ED" w:rsidRPr="007F26ED">
        <w:rPr>
          <w:rFonts w:hint="eastAsia"/>
          <w:sz w:val="28"/>
          <w:szCs w:val="28"/>
        </w:rPr>
        <w:t>月</w:t>
      </w:r>
      <w:r w:rsidR="0046041A">
        <w:rPr>
          <w:rFonts w:hint="eastAsia"/>
          <w:sz w:val="28"/>
          <w:szCs w:val="28"/>
        </w:rPr>
        <w:t>，</w:t>
      </w:r>
      <w:r w:rsidR="0034692E">
        <w:rPr>
          <w:rFonts w:hint="eastAsia"/>
          <w:sz w:val="28"/>
          <w:szCs w:val="28"/>
        </w:rPr>
        <w:t>评选结果</w:t>
      </w:r>
      <w:r w:rsidR="0034692E" w:rsidRPr="0034692E">
        <w:rPr>
          <w:rFonts w:cs="Times New Roman" w:hint="eastAsia"/>
          <w:sz w:val="28"/>
          <w:szCs w:val="28"/>
        </w:rPr>
        <w:t>实施时间为每年</w:t>
      </w:r>
      <w:r w:rsidR="0034692E" w:rsidRPr="0034692E">
        <w:rPr>
          <w:rFonts w:cs="Times New Roman" w:hint="eastAsia"/>
          <w:sz w:val="28"/>
          <w:szCs w:val="28"/>
        </w:rPr>
        <w:t>6</w:t>
      </w:r>
      <w:r w:rsidR="0034692E" w:rsidRPr="0034692E">
        <w:rPr>
          <w:rFonts w:cs="Times New Roman" w:hint="eastAsia"/>
          <w:sz w:val="28"/>
          <w:szCs w:val="28"/>
        </w:rPr>
        <w:t>月和</w:t>
      </w:r>
      <w:r w:rsidR="0034692E" w:rsidRPr="0034692E">
        <w:rPr>
          <w:rFonts w:cs="Times New Roman" w:hint="eastAsia"/>
          <w:sz w:val="28"/>
          <w:szCs w:val="28"/>
        </w:rPr>
        <w:t>12</w:t>
      </w:r>
      <w:r w:rsidR="0034692E" w:rsidRPr="0034692E">
        <w:rPr>
          <w:rFonts w:cs="Times New Roman" w:hint="eastAsia"/>
          <w:sz w:val="28"/>
          <w:szCs w:val="28"/>
        </w:rPr>
        <w:t>月的第二个星期五的下一交易日</w:t>
      </w:r>
      <w:r w:rsidR="0034692E">
        <w:rPr>
          <w:rFonts w:cs="Times New Roman" w:hint="eastAsia"/>
          <w:sz w:val="28"/>
          <w:szCs w:val="28"/>
        </w:rPr>
        <w:t>，</w:t>
      </w:r>
      <w:r w:rsidR="0046041A" w:rsidRPr="0046041A">
        <w:rPr>
          <w:rFonts w:hint="eastAsia"/>
          <w:sz w:val="28"/>
          <w:szCs w:val="28"/>
        </w:rPr>
        <w:t>每次</w:t>
      </w:r>
      <w:r w:rsidR="0046041A" w:rsidRPr="0046041A">
        <w:rPr>
          <w:rFonts w:cs="Times New Roman" w:hint="eastAsia"/>
          <w:sz w:val="28"/>
          <w:szCs w:val="28"/>
        </w:rPr>
        <w:t>调整比例原则上不超过</w:t>
      </w:r>
      <w:r w:rsidR="0046041A" w:rsidRPr="0046041A">
        <w:rPr>
          <w:rFonts w:cs="Times New Roman" w:hint="eastAsia"/>
          <w:sz w:val="28"/>
          <w:szCs w:val="28"/>
        </w:rPr>
        <w:t>10%</w:t>
      </w:r>
      <w:r w:rsidR="0034692E" w:rsidRPr="0034692E">
        <w:rPr>
          <w:rFonts w:cs="Times New Roman" w:hint="eastAsia"/>
          <w:sz w:val="28"/>
          <w:szCs w:val="28"/>
        </w:rPr>
        <w:t>。</w:t>
      </w:r>
      <w:r w:rsidR="00B4330A">
        <w:rPr>
          <w:rFonts w:cs="Times New Roman"/>
          <w:sz w:val="28"/>
          <w:szCs w:val="28"/>
        </w:rPr>
        <w:br w:type="page"/>
      </w:r>
    </w:p>
    <w:p w:rsidR="007F26ED" w:rsidRDefault="007F26ED" w:rsidP="00B4330A">
      <w:pPr>
        <w:spacing w:before="0" w:beforeAutospacing="0" w:after="0" w:afterAutospacing="0"/>
        <w:ind w:firstLineChars="0" w:firstLine="0"/>
        <w:rPr>
          <w:sz w:val="28"/>
          <w:szCs w:val="28"/>
        </w:rPr>
      </w:pPr>
    </w:p>
    <w:p w:rsidR="00B4330A" w:rsidRPr="00AC4827" w:rsidRDefault="00B4330A" w:rsidP="00AC4827">
      <w:pPr>
        <w:spacing w:before="0" w:beforeAutospacing="0" w:after="0" w:afterAutospacing="0"/>
        <w:ind w:firstLineChars="0" w:firstLine="0"/>
        <w:jc w:val="center"/>
        <w:rPr>
          <w:b/>
          <w:sz w:val="32"/>
          <w:szCs w:val="32"/>
        </w:rPr>
      </w:pPr>
      <w:r w:rsidRPr="00AC4827">
        <w:rPr>
          <w:b/>
          <w:sz w:val="32"/>
          <w:szCs w:val="32"/>
        </w:rPr>
        <w:t>Appraisal M</w:t>
      </w:r>
      <w:r w:rsidRPr="00AC4827">
        <w:rPr>
          <w:rFonts w:hint="eastAsia"/>
          <w:b/>
          <w:sz w:val="32"/>
          <w:szCs w:val="32"/>
        </w:rPr>
        <w:t>ethod</w:t>
      </w:r>
      <w:r w:rsidRPr="00AC4827">
        <w:rPr>
          <w:b/>
          <w:sz w:val="32"/>
          <w:szCs w:val="32"/>
        </w:rPr>
        <w:t>s of SSE Corporate Governance Sector</w:t>
      </w:r>
    </w:p>
    <w:p w:rsidR="00B4330A" w:rsidRDefault="00B4330A" w:rsidP="00B4330A">
      <w:pPr>
        <w:spacing w:before="0" w:beforeAutospacing="0" w:after="0" w:afterAutospacing="0"/>
        <w:ind w:firstLineChars="0" w:firstLine="0"/>
        <w:rPr>
          <w:sz w:val="28"/>
          <w:szCs w:val="28"/>
        </w:rPr>
      </w:pPr>
    </w:p>
    <w:p w:rsidR="00B4330A" w:rsidRDefault="00B4330A" w:rsidP="00B4330A">
      <w:pPr>
        <w:spacing w:before="0" w:beforeAutospacing="0" w:after="0" w:afterAutospacing="0"/>
        <w:ind w:firstLineChars="0" w:firstLine="0"/>
        <w:rPr>
          <w:sz w:val="28"/>
          <w:szCs w:val="28"/>
        </w:rPr>
      </w:pPr>
      <w:r w:rsidRPr="00B4330A">
        <w:rPr>
          <w:sz w:val="28"/>
          <w:szCs w:val="28"/>
        </w:rPr>
        <w:t xml:space="preserve">In order to further promote the </w:t>
      </w:r>
      <w:r>
        <w:rPr>
          <w:rFonts w:hint="eastAsia"/>
          <w:sz w:val="28"/>
          <w:szCs w:val="28"/>
        </w:rPr>
        <w:t xml:space="preserve">corporate </w:t>
      </w:r>
      <w:r w:rsidRPr="00B4330A">
        <w:rPr>
          <w:sz w:val="28"/>
          <w:szCs w:val="28"/>
        </w:rPr>
        <w:t>governance level of listed companies and improve the quality of listed companies</w:t>
      </w:r>
      <w:r>
        <w:rPr>
          <w:rFonts w:hint="eastAsia"/>
          <w:sz w:val="28"/>
          <w:szCs w:val="28"/>
        </w:rPr>
        <w:t xml:space="preserve">, </w:t>
      </w:r>
      <w:r w:rsidRPr="00B4330A">
        <w:rPr>
          <w:sz w:val="28"/>
          <w:szCs w:val="28"/>
        </w:rPr>
        <w:t xml:space="preserve">Shanghai Stock Exchange (SSE) and China Securities Index Co., Ltd. (CSI) </w:t>
      </w:r>
      <w:r w:rsidR="0006446C">
        <w:rPr>
          <w:rFonts w:hint="eastAsia"/>
          <w:sz w:val="28"/>
          <w:szCs w:val="28"/>
        </w:rPr>
        <w:t xml:space="preserve">established </w:t>
      </w:r>
      <w:r w:rsidR="0006446C" w:rsidRPr="00B4330A">
        <w:rPr>
          <w:sz w:val="28"/>
          <w:szCs w:val="28"/>
        </w:rPr>
        <w:t>Appraisal M</w:t>
      </w:r>
      <w:r w:rsidR="0006446C">
        <w:rPr>
          <w:rFonts w:hint="eastAsia"/>
          <w:sz w:val="28"/>
          <w:szCs w:val="28"/>
        </w:rPr>
        <w:t>ethod</w:t>
      </w:r>
      <w:r w:rsidR="0006446C" w:rsidRPr="00B4330A">
        <w:rPr>
          <w:sz w:val="28"/>
          <w:szCs w:val="28"/>
        </w:rPr>
        <w:t>s of SSE Corporate Governance Sector</w:t>
      </w:r>
      <w:r w:rsidR="0006446C">
        <w:rPr>
          <w:rFonts w:hint="eastAsia"/>
          <w:sz w:val="28"/>
          <w:szCs w:val="28"/>
        </w:rPr>
        <w:t>.</w:t>
      </w:r>
    </w:p>
    <w:p w:rsidR="0006446C" w:rsidRDefault="0006446C" w:rsidP="00B4330A">
      <w:pPr>
        <w:spacing w:before="0" w:beforeAutospacing="0" w:after="0" w:afterAutospacing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Pr="0006446C">
        <w:rPr>
          <w:sz w:val="28"/>
          <w:szCs w:val="28"/>
        </w:rPr>
        <w:t>Appraisal</w:t>
      </w:r>
      <w:r>
        <w:rPr>
          <w:rFonts w:hint="eastAsia"/>
          <w:sz w:val="28"/>
          <w:szCs w:val="28"/>
        </w:rPr>
        <w:t xml:space="preserve"> Scope</w:t>
      </w:r>
    </w:p>
    <w:p w:rsidR="0006446C" w:rsidRDefault="002E14AD" w:rsidP="00B4330A">
      <w:pPr>
        <w:spacing w:before="0" w:beforeAutospacing="0" w:after="0" w:afterAutospacing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543158">
        <w:rPr>
          <w:sz w:val="28"/>
          <w:szCs w:val="28"/>
        </w:rPr>
        <w:t>Companies</w:t>
      </w:r>
      <w:r w:rsidR="00543158">
        <w:rPr>
          <w:rFonts w:hint="eastAsia"/>
          <w:sz w:val="28"/>
          <w:szCs w:val="28"/>
        </w:rPr>
        <w:t xml:space="preserve"> </w:t>
      </w:r>
      <w:r w:rsidR="00C57EC8">
        <w:rPr>
          <w:rFonts w:hint="eastAsia"/>
          <w:sz w:val="28"/>
          <w:szCs w:val="28"/>
        </w:rPr>
        <w:t xml:space="preserve">listed </w:t>
      </w:r>
      <w:r w:rsidR="0006446C">
        <w:rPr>
          <w:rFonts w:hint="eastAsia"/>
          <w:sz w:val="28"/>
          <w:szCs w:val="28"/>
        </w:rPr>
        <w:t xml:space="preserve">in </w:t>
      </w:r>
      <w:r w:rsidR="0006446C" w:rsidRPr="0006446C">
        <w:rPr>
          <w:sz w:val="28"/>
          <w:szCs w:val="28"/>
        </w:rPr>
        <w:t>Shanghai Stock Exchange</w:t>
      </w:r>
    </w:p>
    <w:p w:rsidR="0006446C" w:rsidRDefault="0006446C" w:rsidP="00B4330A">
      <w:pPr>
        <w:spacing w:before="0" w:beforeAutospacing="0" w:after="0" w:afterAutospacing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Pr="00B4330A">
        <w:rPr>
          <w:sz w:val="28"/>
          <w:szCs w:val="28"/>
        </w:rPr>
        <w:t>Appraisal M</w:t>
      </w:r>
      <w:r>
        <w:rPr>
          <w:rFonts w:hint="eastAsia"/>
          <w:sz w:val="28"/>
          <w:szCs w:val="28"/>
        </w:rPr>
        <w:t>ethod</w:t>
      </w:r>
      <w:r w:rsidRPr="00B4330A">
        <w:rPr>
          <w:sz w:val="28"/>
          <w:szCs w:val="28"/>
        </w:rPr>
        <w:t>s</w:t>
      </w:r>
    </w:p>
    <w:p w:rsidR="00E1658A" w:rsidRDefault="002E14AD" w:rsidP="002E14AD">
      <w:pPr>
        <w:spacing w:before="0" w:beforeAutospacing="0" w:after="0" w:afterAutospacing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2.1 </w:t>
      </w:r>
      <w:r w:rsidRPr="002E14AD">
        <w:rPr>
          <w:sz w:val="28"/>
          <w:szCs w:val="28"/>
        </w:rPr>
        <w:t>Exclude listed companies that do not meet the following conditions</w:t>
      </w:r>
      <w:r>
        <w:rPr>
          <w:rFonts w:hint="eastAsia"/>
          <w:sz w:val="28"/>
          <w:szCs w:val="28"/>
        </w:rPr>
        <w:t>:</w:t>
      </w:r>
    </w:p>
    <w:p w:rsidR="002E14AD" w:rsidRDefault="002E14AD" w:rsidP="002E14AD">
      <w:pPr>
        <w:spacing w:before="0" w:beforeAutospacing="0" w:after="0" w:afterAutospacing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>(1)</w:t>
      </w:r>
      <w:r w:rsidR="00FB2D9C">
        <w:rPr>
          <w:rFonts w:hint="eastAsia"/>
          <w:sz w:val="28"/>
          <w:szCs w:val="28"/>
        </w:rPr>
        <w:t xml:space="preserve"> L</w:t>
      </w:r>
      <w:r w:rsidR="00FB2D9C" w:rsidRPr="00FB2D9C">
        <w:rPr>
          <w:sz w:val="28"/>
          <w:szCs w:val="28"/>
        </w:rPr>
        <w:t>isted for</w:t>
      </w:r>
      <w:r w:rsidR="00FB2D9C">
        <w:rPr>
          <w:rFonts w:hint="eastAsia"/>
          <w:sz w:val="28"/>
          <w:szCs w:val="28"/>
        </w:rPr>
        <w:t xml:space="preserve"> more than</w:t>
      </w:r>
      <w:r w:rsidR="00FB2D9C" w:rsidRPr="00FB2D9C">
        <w:rPr>
          <w:sz w:val="28"/>
          <w:szCs w:val="28"/>
        </w:rPr>
        <w:t xml:space="preserve"> one year</w:t>
      </w:r>
      <w:r w:rsidR="00FB2D9C">
        <w:rPr>
          <w:rFonts w:hint="eastAsia"/>
          <w:sz w:val="28"/>
          <w:szCs w:val="28"/>
        </w:rPr>
        <w:t>;</w:t>
      </w:r>
    </w:p>
    <w:p w:rsidR="00FB2D9C" w:rsidRDefault="00FB2D9C" w:rsidP="002E14AD">
      <w:pPr>
        <w:spacing w:before="0" w:beforeAutospacing="0" w:after="0" w:afterAutospacing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(2) Not ST or </w:t>
      </w:r>
      <w:r w:rsidRPr="007F26ED">
        <w:rPr>
          <w:rFonts w:hint="eastAsia"/>
          <w:sz w:val="28"/>
          <w:szCs w:val="28"/>
        </w:rPr>
        <w:t>*ST</w:t>
      </w:r>
      <w:r>
        <w:rPr>
          <w:rFonts w:hint="eastAsia"/>
          <w:sz w:val="28"/>
          <w:szCs w:val="28"/>
        </w:rPr>
        <w:t>;</w:t>
      </w:r>
    </w:p>
    <w:p w:rsidR="00FB2D9C" w:rsidRDefault="00FB2D9C" w:rsidP="002E14AD">
      <w:pPr>
        <w:spacing w:before="0" w:beforeAutospacing="0" w:after="0" w:afterAutospacing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(3) </w:t>
      </w:r>
      <w:r w:rsidRPr="00FB2D9C">
        <w:rPr>
          <w:sz w:val="28"/>
          <w:szCs w:val="28"/>
        </w:rPr>
        <w:t>No violations of laws and regulations in the past year</w:t>
      </w:r>
      <w:r w:rsidR="00AB32D4">
        <w:rPr>
          <w:rFonts w:hint="eastAsia"/>
          <w:sz w:val="28"/>
          <w:szCs w:val="28"/>
        </w:rPr>
        <w:t>;</w:t>
      </w:r>
    </w:p>
    <w:p w:rsidR="00FB2D9C" w:rsidRDefault="00FB2D9C" w:rsidP="002E14AD">
      <w:pPr>
        <w:spacing w:before="0" w:beforeAutospacing="0" w:after="0" w:afterAutospacing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(4) </w:t>
      </w:r>
      <w:r w:rsidR="00AB32D4">
        <w:rPr>
          <w:sz w:val="28"/>
          <w:szCs w:val="28"/>
        </w:rPr>
        <w:t xml:space="preserve">No </w:t>
      </w:r>
      <w:r w:rsidR="00AB32D4">
        <w:rPr>
          <w:rFonts w:hint="eastAsia"/>
          <w:sz w:val="28"/>
          <w:szCs w:val="28"/>
        </w:rPr>
        <w:t>bond</w:t>
      </w:r>
      <w:r w:rsidR="00AB32D4" w:rsidRPr="00AB32D4">
        <w:rPr>
          <w:sz w:val="28"/>
          <w:szCs w:val="28"/>
        </w:rPr>
        <w:t xml:space="preserve"> default in the past year</w:t>
      </w:r>
      <w:r w:rsidR="00AB32D4">
        <w:rPr>
          <w:rFonts w:hint="eastAsia"/>
          <w:sz w:val="28"/>
          <w:szCs w:val="28"/>
        </w:rPr>
        <w:t>;</w:t>
      </w:r>
    </w:p>
    <w:p w:rsidR="00AB32D4" w:rsidRDefault="00AB32D4" w:rsidP="002E14AD">
      <w:pPr>
        <w:spacing w:before="0" w:beforeAutospacing="0" w:after="0" w:afterAutospacing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(5) </w:t>
      </w:r>
      <w:r w:rsidRPr="00AB32D4">
        <w:rPr>
          <w:sz w:val="28"/>
          <w:szCs w:val="28"/>
        </w:rPr>
        <w:t xml:space="preserve">The audit opinion </w:t>
      </w:r>
      <w:r>
        <w:rPr>
          <w:rFonts w:hint="eastAsia"/>
          <w:sz w:val="28"/>
          <w:szCs w:val="28"/>
        </w:rPr>
        <w:t xml:space="preserve">of </w:t>
      </w:r>
      <w:r w:rsidRPr="00AB32D4">
        <w:rPr>
          <w:sz w:val="28"/>
          <w:szCs w:val="28"/>
        </w:rPr>
        <w:t>annual report is "standard unqualified opinion"</w:t>
      </w:r>
      <w:r>
        <w:rPr>
          <w:rFonts w:hint="eastAsia"/>
          <w:sz w:val="28"/>
          <w:szCs w:val="28"/>
        </w:rPr>
        <w:t>.</w:t>
      </w:r>
    </w:p>
    <w:p w:rsidR="00AB32D4" w:rsidRDefault="00AB32D4" w:rsidP="002E14AD">
      <w:pPr>
        <w:spacing w:before="0" w:beforeAutospacing="0" w:after="0" w:afterAutospacing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2.2 </w:t>
      </w:r>
      <w:r w:rsidRPr="00AB32D4">
        <w:rPr>
          <w:sz w:val="28"/>
          <w:szCs w:val="28"/>
        </w:rPr>
        <w:t xml:space="preserve">The governance status of listed companies will be </w:t>
      </w:r>
      <w:r>
        <w:rPr>
          <w:rFonts w:hint="eastAsia"/>
          <w:sz w:val="28"/>
          <w:szCs w:val="28"/>
        </w:rPr>
        <w:t>score</w:t>
      </w:r>
      <w:r w:rsidRPr="00AB32D4">
        <w:rPr>
          <w:sz w:val="28"/>
          <w:szCs w:val="28"/>
        </w:rPr>
        <w:t xml:space="preserve">d through seven dimensions, including shareholder governance, board governance, board of </w:t>
      </w:r>
      <w:proofErr w:type="gramStart"/>
      <w:r w:rsidRPr="00AB32D4">
        <w:rPr>
          <w:sz w:val="28"/>
          <w:szCs w:val="28"/>
        </w:rPr>
        <w:t>supervisors</w:t>
      </w:r>
      <w:proofErr w:type="gramEnd"/>
      <w:r w:rsidRPr="00AB32D4">
        <w:rPr>
          <w:sz w:val="28"/>
          <w:szCs w:val="28"/>
        </w:rPr>
        <w:t xml:space="preserve"> governance, executive management, controlling shareholders and related-parties, disclosure and transparency, and </w:t>
      </w:r>
      <w:r w:rsidRPr="00AB32D4">
        <w:rPr>
          <w:sz w:val="28"/>
          <w:szCs w:val="28"/>
        </w:rPr>
        <w:lastRenderedPageBreak/>
        <w:t>management operations.</w:t>
      </w:r>
      <w:r>
        <w:rPr>
          <w:rFonts w:hint="eastAsia"/>
          <w:sz w:val="28"/>
          <w:szCs w:val="28"/>
        </w:rPr>
        <w:t xml:space="preserve"> </w:t>
      </w:r>
      <w:r w:rsidRPr="00AB32D4">
        <w:rPr>
          <w:sz w:val="28"/>
          <w:szCs w:val="28"/>
        </w:rPr>
        <w:t>The SSE Corporate Governance Sector will be composed of 300 listed companies with high governance scores</w:t>
      </w:r>
      <w:r>
        <w:rPr>
          <w:rFonts w:hint="eastAsia"/>
          <w:sz w:val="28"/>
          <w:szCs w:val="28"/>
        </w:rPr>
        <w:t>.</w:t>
      </w:r>
    </w:p>
    <w:p w:rsidR="00AB32D4" w:rsidRDefault="00252DCF" w:rsidP="002E14AD">
      <w:pPr>
        <w:spacing w:before="0" w:beforeAutospacing="0" w:after="0" w:afterAutospacing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2C1B91">
        <w:rPr>
          <w:sz w:val="28"/>
          <w:szCs w:val="28"/>
        </w:rPr>
        <w:t>I</w:t>
      </w:r>
      <w:r w:rsidR="002C1B91">
        <w:rPr>
          <w:rFonts w:hint="eastAsia"/>
          <w:sz w:val="28"/>
          <w:szCs w:val="28"/>
        </w:rPr>
        <w:t xml:space="preserve">n </w:t>
      </w:r>
      <w:r w:rsidR="002C1B91" w:rsidRPr="00AB32D4">
        <w:rPr>
          <w:sz w:val="28"/>
          <w:szCs w:val="28"/>
        </w:rPr>
        <w:t>seven dimensions</w:t>
      </w:r>
      <w:r w:rsidR="002C1B91">
        <w:rPr>
          <w:rFonts w:hint="eastAsia"/>
          <w:sz w:val="28"/>
          <w:szCs w:val="28"/>
        </w:rPr>
        <w:t>, the s</w:t>
      </w:r>
      <w:r w:rsidRPr="00252DCF">
        <w:rPr>
          <w:sz w:val="28"/>
          <w:szCs w:val="28"/>
        </w:rPr>
        <w:t>hareholder governance</w:t>
      </w:r>
      <w:r>
        <w:rPr>
          <w:rFonts w:hint="eastAsia"/>
          <w:sz w:val="28"/>
          <w:szCs w:val="28"/>
        </w:rPr>
        <w:t xml:space="preserve"> </w:t>
      </w:r>
      <w:r w:rsidRPr="00252DCF">
        <w:rPr>
          <w:sz w:val="28"/>
          <w:szCs w:val="28"/>
        </w:rPr>
        <w:t xml:space="preserve">dimension </w:t>
      </w:r>
      <w:r w:rsidR="002C1B91">
        <w:rPr>
          <w:rFonts w:hint="eastAsia"/>
          <w:sz w:val="28"/>
          <w:szCs w:val="28"/>
        </w:rPr>
        <w:t>measure</w:t>
      </w:r>
      <w:r w:rsidR="002C1B91" w:rsidRPr="00252DCF">
        <w:rPr>
          <w:sz w:val="28"/>
          <w:szCs w:val="28"/>
        </w:rPr>
        <w:t xml:space="preserve">s </w:t>
      </w:r>
      <w:r w:rsidRPr="00252DCF">
        <w:rPr>
          <w:sz w:val="28"/>
          <w:szCs w:val="28"/>
        </w:rPr>
        <w:t>factors such as the protection of the interests of shareholders</w:t>
      </w:r>
      <w:r w:rsidR="002C1B91">
        <w:rPr>
          <w:rFonts w:hint="eastAsia"/>
          <w:sz w:val="28"/>
          <w:szCs w:val="28"/>
        </w:rPr>
        <w:t xml:space="preserve">; </w:t>
      </w:r>
      <w:r w:rsidR="002C1B91">
        <w:rPr>
          <w:sz w:val="28"/>
          <w:szCs w:val="28"/>
        </w:rPr>
        <w:t>the</w:t>
      </w:r>
      <w:r w:rsidR="002C1B91">
        <w:rPr>
          <w:rFonts w:hint="eastAsia"/>
          <w:sz w:val="28"/>
          <w:szCs w:val="28"/>
        </w:rPr>
        <w:t xml:space="preserve"> </w:t>
      </w:r>
      <w:r w:rsidRPr="00AB32D4">
        <w:rPr>
          <w:sz w:val="28"/>
          <w:szCs w:val="28"/>
        </w:rPr>
        <w:t>board governance</w:t>
      </w:r>
      <w:r>
        <w:rPr>
          <w:rFonts w:hint="eastAsia"/>
          <w:sz w:val="28"/>
          <w:szCs w:val="28"/>
        </w:rPr>
        <w:t xml:space="preserve"> dimension measure</w:t>
      </w:r>
      <w:r w:rsidRPr="00252DCF">
        <w:rPr>
          <w:sz w:val="28"/>
          <w:szCs w:val="28"/>
        </w:rPr>
        <w:t>s factors such as</w:t>
      </w:r>
      <w:r>
        <w:rPr>
          <w:rFonts w:hint="eastAsia"/>
          <w:sz w:val="28"/>
          <w:szCs w:val="28"/>
        </w:rPr>
        <w:t xml:space="preserve"> </w:t>
      </w:r>
      <w:r w:rsidRPr="00252DCF">
        <w:rPr>
          <w:sz w:val="28"/>
          <w:szCs w:val="28"/>
        </w:rPr>
        <w:t xml:space="preserve">the rationality of the board structure, the performance </w:t>
      </w:r>
      <w:r w:rsidR="002C1B91">
        <w:rPr>
          <w:sz w:val="28"/>
          <w:szCs w:val="28"/>
        </w:rPr>
        <w:t>and</w:t>
      </w:r>
      <w:r w:rsidR="002C1B91">
        <w:rPr>
          <w:rFonts w:hint="eastAsia"/>
          <w:sz w:val="28"/>
          <w:szCs w:val="28"/>
        </w:rPr>
        <w:t xml:space="preserve"> </w:t>
      </w:r>
      <w:r w:rsidR="002C1B91" w:rsidRPr="00252DCF">
        <w:rPr>
          <w:sz w:val="28"/>
          <w:szCs w:val="28"/>
        </w:rPr>
        <w:t xml:space="preserve">professionalism </w:t>
      </w:r>
      <w:r w:rsidR="002C1B91">
        <w:rPr>
          <w:sz w:val="28"/>
          <w:szCs w:val="28"/>
        </w:rPr>
        <w:t>of directors</w:t>
      </w:r>
      <w:r w:rsidR="002C1B91">
        <w:rPr>
          <w:rFonts w:hint="eastAsia"/>
          <w:sz w:val="28"/>
          <w:szCs w:val="28"/>
        </w:rPr>
        <w:t xml:space="preserve">; the </w:t>
      </w:r>
      <w:r w:rsidR="002C1B91" w:rsidRPr="00AB32D4">
        <w:rPr>
          <w:sz w:val="28"/>
          <w:szCs w:val="28"/>
        </w:rPr>
        <w:t>board of supervisors governance</w:t>
      </w:r>
      <w:r w:rsidR="002C1B91">
        <w:rPr>
          <w:rFonts w:hint="eastAsia"/>
          <w:sz w:val="28"/>
          <w:szCs w:val="28"/>
        </w:rPr>
        <w:t xml:space="preserve"> dimension measure</w:t>
      </w:r>
      <w:r w:rsidR="002C1B91" w:rsidRPr="00252DCF">
        <w:rPr>
          <w:sz w:val="28"/>
          <w:szCs w:val="28"/>
        </w:rPr>
        <w:t>s factors such as</w:t>
      </w:r>
      <w:r w:rsidR="002C1B91">
        <w:rPr>
          <w:rFonts w:hint="eastAsia"/>
          <w:sz w:val="28"/>
          <w:szCs w:val="28"/>
        </w:rPr>
        <w:t xml:space="preserve"> </w:t>
      </w:r>
      <w:r w:rsidR="002C1B91" w:rsidRPr="002C1B91">
        <w:rPr>
          <w:sz w:val="28"/>
          <w:szCs w:val="28"/>
        </w:rPr>
        <w:t>the rationality and independence of the board of supervisors</w:t>
      </w:r>
      <w:r w:rsidR="002C1B91">
        <w:rPr>
          <w:rFonts w:hint="eastAsia"/>
          <w:sz w:val="28"/>
          <w:szCs w:val="28"/>
        </w:rPr>
        <w:t xml:space="preserve">; the </w:t>
      </w:r>
      <w:r w:rsidR="002C1B91" w:rsidRPr="00AB32D4">
        <w:rPr>
          <w:sz w:val="28"/>
          <w:szCs w:val="28"/>
        </w:rPr>
        <w:t>executive management</w:t>
      </w:r>
      <w:r w:rsidR="002C1B91">
        <w:rPr>
          <w:rFonts w:hint="eastAsia"/>
          <w:sz w:val="28"/>
          <w:szCs w:val="28"/>
        </w:rPr>
        <w:t xml:space="preserve"> dimension measure</w:t>
      </w:r>
      <w:r w:rsidR="002C1B91" w:rsidRPr="00252DCF">
        <w:rPr>
          <w:sz w:val="28"/>
          <w:szCs w:val="28"/>
        </w:rPr>
        <w:t>s factors such as</w:t>
      </w:r>
      <w:r w:rsidR="002C1B91">
        <w:rPr>
          <w:rFonts w:hint="eastAsia"/>
          <w:sz w:val="28"/>
          <w:szCs w:val="28"/>
        </w:rPr>
        <w:t xml:space="preserve"> </w:t>
      </w:r>
      <w:r w:rsidR="002C1B91" w:rsidRPr="002C1B91">
        <w:rPr>
          <w:sz w:val="28"/>
          <w:szCs w:val="28"/>
        </w:rPr>
        <w:t xml:space="preserve">the </w:t>
      </w:r>
      <w:r w:rsidR="002C1B91">
        <w:rPr>
          <w:rFonts w:hint="eastAsia"/>
          <w:sz w:val="28"/>
          <w:szCs w:val="28"/>
        </w:rPr>
        <w:t xml:space="preserve">consistency between </w:t>
      </w:r>
      <w:r w:rsidR="002C1B91" w:rsidRPr="002C1B91">
        <w:rPr>
          <w:sz w:val="28"/>
          <w:szCs w:val="28"/>
        </w:rPr>
        <w:t xml:space="preserve">executive compensation </w:t>
      </w:r>
      <w:r w:rsidR="002C1B91">
        <w:rPr>
          <w:rFonts w:hint="eastAsia"/>
          <w:sz w:val="28"/>
          <w:szCs w:val="28"/>
        </w:rPr>
        <w:t>and company</w:t>
      </w:r>
      <w:r w:rsidR="002C1B91">
        <w:rPr>
          <w:sz w:val="28"/>
          <w:szCs w:val="28"/>
        </w:rPr>
        <w:t>’</w:t>
      </w:r>
      <w:r w:rsidR="002C1B91">
        <w:rPr>
          <w:rFonts w:hint="eastAsia"/>
          <w:sz w:val="28"/>
          <w:szCs w:val="28"/>
        </w:rPr>
        <w:t xml:space="preserve">s </w:t>
      </w:r>
      <w:r w:rsidR="002C1B91" w:rsidRPr="002C1B91">
        <w:rPr>
          <w:sz w:val="28"/>
          <w:szCs w:val="28"/>
        </w:rPr>
        <w:t>performance, the stability of executives</w:t>
      </w:r>
      <w:r w:rsidR="002C1B91">
        <w:rPr>
          <w:rFonts w:hint="eastAsia"/>
          <w:sz w:val="28"/>
          <w:szCs w:val="28"/>
        </w:rPr>
        <w:t xml:space="preserve">; the </w:t>
      </w:r>
      <w:r w:rsidR="002C1B91" w:rsidRPr="00AB32D4">
        <w:rPr>
          <w:sz w:val="28"/>
          <w:szCs w:val="28"/>
        </w:rPr>
        <w:t>controlling shareholders and related-parties</w:t>
      </w:r>
      <w:r w:rsidR="002C1B91">
        <w:rPr>
          <w:rFonts w:hint="eastAsia"/>
          <w:sz w:val="28"/>
          <w:szCs w:val="28"/>
        </w:rPr>
        <w:t xml:space="preserve"> dimension measures </w:t>
      </w:r>
      <w:r w:rsidR="00AC4827" w:rsidRPr="00252DCF">
        <w:rPr>
          <w:sz w:val="28"/>
          <w:szCs w:val="28"/>
        </w:rPr>
        <w:t>factors such as</w:t>
      </w:r>
      <w:r w:rsidR="00AC4827">
        <w:rPr>
          <w:rFonts w:hint="eastAsia"/>
          <w:sz w:val="28"/>
          <w:szCs w:val="28"/>
        </w:rPr>
        <w:t xml:space="preserve"> </w:t>
      </w:r>
      <w:r w:rsidR="00AC4827" w:rsidRPr="00AC4827">
        <w:rPr>
          <w:sz w:val="28"/>
          <w:szCs w:val="28"/>
        </w:rPr>
        <w:t>the independence of listed companies, the normative behavior of controlling shareholders and related parties</w:t>
      </w:r>
      <w:r w:rsidR="00AC4827">
        <w:rPr>
          <w:rFonts w:hint="eastAsia"/>
          <w:sz w:val="28"/>
          <w:szCs w:val="28"/>
        </w:rPr>
        <w:t xml:space="preserve">; </w:t>
      </w:r>
      <w:r w:rsidR="00AC4827">
        <w:rPr>
          <w:sz w:val="28"/>
          <w:szCs w:val="28"/>
        </w:rPr>
        <w:t>the</w:t>
      </w:r>
      <w:r w:rsidR="00AC4827">
        <w:rPr>
          <w:rFonts w:hint="eastAsia"/>
          <w:sz w:val="28"/>
          <w:szCs w:val="28"/>
        </w:rPr>
        <w:t xml:space="preserve"> </w:t>
      </w:r>
      <w:r w:rsidR="00AC4827" w:rsidRPr="00AB32D4">
        <w:rPr>
          <w:sz w:val="28"/>
          <w:szCs w:val="28"/>
        </w:rPr>
        <w:t>disclosure and transparency</w:t>
      </w:r>
      <w:r w:rsidR="00AC4827">
        <w:rPr>
          <w:rFonts w:hint="eastAsia"/>
          <w:sz w:val="28"/>
          <w:szCs w:val="28"/>
        </w:rPr>
        <w:t xml:space="preserve"> measures </w:t>
      </w:r>
      <w:r w:rsidR="00AC4827" w:rsidRPr="00252DCF">
        <w:rPr>
          <w:sz w:val="28"/>
          <w:szCs w:val="28"/>
        </w:rPr>
        <w:t>factors such as</w:t>
      </w:r>
      <w:r w:rsidR="00AC4827">
        <w:rPr>
          <w:rFonts w:hint="eastAsia"/>
          <w:sz w:val="28"/>
          <w:szCs w:val="28"/>
        </w:rPr>
        <w:t xml:space="preserve"> </w:t>
      </w:r>
      <w:r w:rsidR="00AC4827" w:rsidRPr="00AC4827">
        <w:rPr>
          <w:sz w:val="28"/>
          <w:szCs w:val="28"/>
        </w:rPr>
        <w:t>information disclosure status</w:t>
      </w:r>
      <w:r w:rsidR="00AC4827">
        <w:rPr>
          <w:rFonts w:hint="eastAsia"/>
          <w:sz w:val="28"/>
          <w:szCs w:val="28"/>
        </w:rPr>
        <w:t xml:space="preserve"> of the company; </w:t>
      </w:r>
      <w:r w:rsidR="00AC4827">
        <w:rPr>
          <w:sz w:val="28"/>
          <w:szCs w:val="28"/>
        </w:rPr>
        <w:t>the</w:t>
      </w:r>
      <w:r w:rsidR="00AC4827">
        <w:rPr>
          <w:rFonts w:hint="eastAsia"/>
          <w:sz w:val="28"/>
          <w:szCs w:val="28"/>
        </w:rPr>
        <w:t xml:space="preserve"> </w:t>
      </w:r>
      <w:r w:rsidR="00AC4827" w:rsidRPr="00AB32D4">
        <w:rPr>
          <w:sz w:val="28"/>
          <w:szCs w:val="28"/>
        </w:rPr>
        <w:t>management operations</w:t>
      </w:r>
      <w:r w:rsidR="00AC4827">
        <w:rPr>
          <w:rFonts w:hint="eastAsia"/>
          <w:sz w:val="28"/>
          <w:szCs w:val="28"/>
        </w:rPr>
        <w:t xml:space="preserve"> dimension measures </w:t>
      </w:r>
      <w:r w:rsidR="00AC4827" w:rsidRPr="00252DCF">
        <w:rPr>
          <w:sz w:val="28"/>
          <w:szCs w:val="28"/>
        </w:rPr>
        <w:t>factors such as</w:t>
      </w:r>
      <w:r w:rsidR="00AC4827">
        <w:rPr>
          <w:rFonts w:hint="eastAsia"/>
          <w:sz w:val="28"/>
          <w:szCs w:val="28"/>
        </w:rPr>
        <w:t xml:space="preserve"> </w:t>
      </w:r>
      <w:r w:rsidR="00AC4827" w:rsidRPr="00AC4827">
        <w:rPr>
          <w:sz w:val="28"/>
          <w:szCs w:val="28"/>
        </w:rPr>
        <w:t>financial quality, asset quality, and debt solvency</w:t>
      </w:r>
      <w:r w:rsidR="00AC4827">
        <w:rPr>
          <w:rFonts w:hint="eastAsia"/>
          <w:sz w:val="28"/>
          <w:szCs w:val="28"/>
        </w:rPr>
        <w:t>.</w:t>
      </w:r>
    </w:p>
    <w:p w:rsidR="00AC4827" w:rsidRDefault="00AC4827" w:rsidP="002E14AD">
      <w:pPr>
        <w:spacing w:before="0" w:beforeAutospacing="0" w:after="0" w:afterAutospacing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Pr="00B4330A">
        <w:rPr>
          <w:sz w:val="28"/>
          <w:szCs w:val="28"/>
        </w:rPr>
        <w:t>Appraisal</w:t>
      </w:r>
      <w:r>
        <w:rPr>
          <w:rFonts w:hint="eastAsia"/>
          <w:sz w:val="28"/>
          <w:szCs w:val="28"/>
        </w:rPr>
        <w:t xml:space="preserve"> Frequency</w:t>
      </w:r>
    </w:p>
    <w:p w:rsidR="00AC4827" w:rsidRDefault="00781DE8" w:rsidP="00C150AE">
      <w:pPr>
        <w:spacing w:before="0" w:beforeAutospacing="0" w:after="0" w:afterAutospacing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Pr="00781DE8">
        <w:rPr>
          <w:sz w:val="28"/>
          <w:szCs w:val="28"/>
        </w:rPr>
        <w:t xml:space="preserve">The </w:t>
      </w:r>
      <w:r w:rsidRPr="00B4330A">
        <w:rPr>
          <w:sz w:val="28"/>
          <w:szCs w:val="28"/>
        </w:rPr>
        <w:t>SSE Corporate Governance Sector</w:t>
      </w:r>
      <w:r w:rsidRPr="00781DE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is re-evaluated </w:t>
      </w:r>
      <w:r w:rsidRPr="00781DE8">
        <w:rPr>
          <w:sz w:val="28"/>
          <w:szCs w:val="28"/>
        </w:rPr>
        <w:t>semi-annually</w:t>
      </w:r>
      <w:r>
        <w:rPr>
          <w:sz w:val="28"/>
          <w:szCs w:val="28"/>
        </w:rPr>
        <w:t>, in May and November each year</w:t>
      </w:r>
      <w:r w:rsidRPr="00781DE8">
        <w:rPr>
          <w:sz w:val="28"/>
          <w:szCs w:val="28"/>
        </w:rPr>
        <w:t xml:space="preserve">, </w:t>
      </w:r>
      <w:r w:rsidR="00C150AE">
        <w:rPr>
          <w:rFonts w:hint="eastAsia"/>
          <w:sz w:val="28"/>
          <w:szCs w:val="28"/>
        </w:rPr>
        <w:t xml:space="preserve">and </w:t>
      </w:r>
      <w:r w:rsidR="00C150AE" w:rsidRPr="00C150AE">
        <w:rPr>
          <w:sz w:val="28"/>
          <w:szCs w:val="28"/>
        </w:rPr>
        <w:t xml:space="preserve">the </w:t>
      </w:r>
      <w:r w:rsidR="00C150AE">
        <w:rPr>
          <w:rFonts w:hint="eastAsia"/>
          <w:sz w:val="28"/>
          <w:szCs w:val="28"/>
        </w:rPr>
        <w:t xml:space="preserve">results </w:t>
      </w:r>
      <w:r w:rsidR="00C150AE" w:rsidRPr="00C150AE">
        <w:rPr>
          <w:sz w:val="28"/>
          <w:szCs w:val="28"/>
        </w:rPr>
        <w:t>will be effective as of the next trading day after the 2nd Friday in June and</w:t>
      </w:r>
      <w:r w:rsidR="00C150AE">
        <w:rPr>
          <w:rFonts w:hint="eastAsia"/>
          <w:sz w:val="28"/>
          <w:szCs w:val="28"/>
        </w:rPr>
        <w:t xml:space="preserve"> </w:t>
      </w:r>
      <w:r w:rsidR="00C150AE" w:rsidRPr="00C150AE">
        <w:rPr>
          <w:sz w:val="28"/>
          <w:szCs w:val="28"/>
        </w:rPr>
        <w:t>December</w:t>
      </w:r>
      <w:r w:rsidR="00C150AE">
        <w:rPr>
          <w:rFonts w:hint="eastAsia"/>
          <w:sz w:val="28"/>
          <w:szCs w:val="28"/>
        </w:rPr>
        <w:t>.</w:t>
      </w:r>
      <w:r w:rsidR="00C150AE">
        <w:rPr>
          <w:sz w:val="28"/>
          <w:szCs w:val="28"/>
        </w:rPr>
        <w:t xml:space="preserve"> </w:t>
      </w:r>
      <w:r w:rsidR="00C150AE">
        <w:rPr>
          <w:rFonts w:hint="eastAsia"/>
          <w:sz w:val="28"/>
          <w:szCs w:val="28"/>
        </w:rPr>
        <w:t>T</w:t>
      </w:r>
      <w:r w:rsidRPr="00781DE8">
        <w:rPr>
          <w:sz w:val="28"/>
          <w:szCs w:val="28"/>
        </w:rPr>
        <w:t>he adjustment ratio shall not exceed 10% in principle.</w:t>
      </w:r>
    </w:p>
    <w:sectPr w:rsidR="00AC4827" w:rsidSect="007C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545"/>
    <w:rsid w:val="00011B9B"/>
    <w:rsid w:val="0006446C"/>
    <w:rsid w:val="000E47AB"/>
    <w:rsid w:val="00100389"/>
    <w:rsid w:val="001030C8"/>
    <w:rsid w:val="001A7D7E"/>
    <w:rsid w:val="001D02AC"/>
    <w:rsid w:val="001E1B0B"/>
    <w:rsid w:val="00247544"/>
    <w:rsid w:val="00252DCF"/>
    <w:rsid w:val="002C1B91"/>
    <w:rsid w:val="002C43F2"/>
    <w:rsid w:val="002E14AD"/>
    <w:rsid w:val="0034692E"/>
    <w:rsid w:val="00377545"/>
    <w:rsid w:val="003A3DFA"/>
    <w:rsid w:val="003A7696"/>
    <w:rsid w:val="003D4BB8"/>
    <w:rsid w:val="003D6E6B"/>
    <w:rsid w:val="003F42C6"/>
    <w:rsid w:val="0046041A"/>
    <w:rsid w:val="00476FE6"/>
    <w:rsid w:val="0049071B"/>
    <w:rsid w:val="004C223E"/>
    <w:rsid w:val="0053604F"/>
    <w:rsid w:val="00543158"/>
    <w:rsid w:val="0054390E"/>
    <w:rsid w:val="005C7AA3"/>
    <w:rsid w:val="005D74D8"/>
    <w:rsid w:val="00606857"/>
    <w:rsid w:val="006648AB"/>
    <w:rsid w:val="00673A19"/>
    <w:rsid w:val="006F3B6C"/>
    <w:rsid w:val="00781DE8"/>
    <w:rsid w:val="007B2F1F"/>
    <w:rsid w:val="007C4DD5"/>
    <w:rsid w:val="007E143F"/>
    <w:rsid w:val="007F26ED"/>
    <w:rsid w:val="008F009F"/>
    <w:rsid w:val="00956E57"/>
    <w:rsid w:val="00982505"/>
    <w:rsid w:val="009D5F91"/>
    <w:rsid w:val="009E149E"/>
    <w:rsid w:val="00A54177"/>
    <w:rsid w:val="00AB32D4"/>
    <w:rsid w:val="00AC4827"/>
    <w:rsid w:val="00B13976"/>
    <w:rsid w:val="00B21C5A"/>
    <w:rsid w:val="00B4330A"/>
    <w:rsid w:val="00BC0BAE"/>
    <w:rsid w:val="00BC54EE"/>
    <w:rsid w:val="00C150AE"/>
    <w:rsid w:val="00C501E7"/>
    <w:rsid w:val="00C57EC8"/>
    <w:rsid w:val="00D40094"/>
    <w:rsid w:val="00D537A6"/>
    <w:rsid w:val="00D86CB3"/>
    <w:rsid w:val="00DF7EB3"/>
    <w:rsid w:val="00E1658A"/>
    <w:rsid w:val="00F37C6B"/>
    <w:rsid w:val="00FA51DB"/>
    <w:rsid w:val="00FB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AC"/>
    <w:pPr>
      <w:widowControl w:val="0"/>
      <w:spacing w:before="100" w:beforeAutospacing="1" w:after="100" w:afterAutospacing="1" w:line="300" w:lineRule="auto"/>
      <w:ind w:firstLineChars="200" w:firstLine="200"/>
    </w:pPr>
    <w:rPr>
      <w:rFonts w:ascii="Times New Roman" w:eastAsia="仿宋_GB2312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D02AC"/>
    <w:pPr>
      <w:jc w:val="center"/>
    </w:pPr>
    <w:rPr>
      <w:rFonts w:cstheme="majorBidi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05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658412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441</Words>
  <Characters>2520</Characters>
  <Application>Microsoft Office Word</Application>
  <DocSecurity>0</DocSecurity>
  <Lines>21</Lines>
  <Paragraphs>5</Paragraphs>
  <ScaleCrop>false</ScaleCrop>
  <Company>HP Inc.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yilin</dc:creator>
  <cp:lastModifiedBy>yilin</cp:lastModifiedBy>
  <cp:revision>32</cp:revision>
  <dcterms:created xsi:type="dcterms:W3CDTF">2021-05-27T07:41:00Z</dcterms:created>
  <dcterms:modified xsi:type="dcterms:W3CDTF">2021-05-28T05:28:00Z</dcterms:modified>
</cp:coreProperties>
</file>